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3BCABA92" w:rsidR="00E91FA2" w:rsidRPr="00DB00B9" w:rsidRDefault="004F3D75" w:rsidP="00E91FA2">
      <w:pPr>
        <w:pStyle w:val="MWHead"/>
        <w:rPr>
          <w:rStyle w:val="bold"/>
        </w:rPr>
      </w:pPr>
      <w:r>
        <w:rPr>
          <w:rStyle w:val="bold"/>
        </w:rPr>
        <w:t>Holier Than Thou</w:t>
      </w:r>
    </w:p>
    <w:p w14:paraId="1E74E212" w14:textId="3CCB2DB3" w:rsidR="00E91FA2" w:rsidRPr="0013528F" w:rsidRDefault="00E91FA2" w:rsidP="00E91FA2">
      <w:pPr>
        <w:pStyle w:val="MWHead"/>
      </w:pPr>
      <w:r w:rsidRPr="0013528F">
        <w:t xml:space="preserve">Author: </w:t>
      </w:r>
      <w:r w:rsidR="004F3D75">
        <w:t>Jackie Hill Perry</w:t>
      </w:r>
    </w:p>
    <w:p w14:paraId="358F6D05" w14:textId="367A347B" w:rsidR="00334207" w:rsidRPr="0013528F" w:rsidRDefault="00334207" w:rsidP="00DB00B9">
      <w:pPr>
        <w:pStyle w:val="MWHead"/>
      </w:pPr>
    </w:p>
    <w:p w14:paraId="5A561954" w14:textId="4464E1F7" w:rsidR="00334207" w:rsidRPr="0013528F" w:rsidRDefault="00334207" w:rsidP="00DB00B9">
      <w:pPr>
        <w:pStyle w:val="MWHead"/>
      </w:pPr>
      <w:r w:rsidRPr="00070F86">
        <w:rPr>
          <w:rStyle w:val="bold"/>
        </w:rPr>
        <w:t>Lesson Title: “</w:t>
      </w:r>
      <w:r w:rsidR="00825C79">
        <w:rPr>
          <w:rStyle w:val="bold"/>
        </w:rPr>
        <w:t>Holy, Holy, Holy: Transcendence</w:t>
      </w:r>
      <w:r w:rsidRPr="00070F86">
        <w:rPr>
          <w:rStyle w:val="bold"/>
        </w:rPr>
        <w:t>”</w:t>
      </w:r>
      <w:r w:rsidRPr="0013528F">
        <w:t xml:space="preserve"> (pp. </w:t>
      </w:r>
      <w:r w:rsidR="00825C79">
        <w:t>36</w:t>
      </w:r>
      <w:r w:rsidRPr="0013528F">
        <w:t>-</w:t>
      </w:r>
      <w:r w:rsidR="00825C79">
        <w:t>49</w:t>
      </w:r>
      <w:r w:rsidRPr="0013528F">
        <w:t>)</w:t>
      </w:r>
    </w:p>
    <w:p w14:paraId="684A2702" w14:textId="579D57A5" w:rsidR="00334207" w:rsidRPr="0013528F" w:rsidRDefault="00334207" w:rsidP="00DB00B9">
      <w:pPr>
        <w:pStyle w:val="MWHead"/>
      </w:pPr>
      <w:r w:rsidRPr="0013528F">
        <w:t xml:space="preserve">Session </w:t>
      </w:r>
      <w:r w:rsidR="00825C79">
        <w:t>3</w:t>
      </w:r>
    </w:p>
    <w:p w14:paraId="48B833F7" w14:textId="2E574336" w:rsidR="00334207" w:rsidRPr="0013528F" w:rsidRDefault="004F3D75" w:rsidP="00DB00B9">
      <w:pPr>
        <w:pStyle w:val="MWHead"/>
      </w:pPr>
      <w:r>
        <w:t>December</w:t>
      </w:r>
      <w:r w:rsidR="00825C79">
        <w:t xml:space="preserve"> 17, 2023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312F19CC" w14:textId="77777777" w:rsidR="00825C79" w:rsidRDefault="006E2061" w:rsidP="00825C79">
      <w:pPr>
        <w:pStyle w:val="bodynumberedlist"/>
      </w:pPr>
      <w:r w:rsidRPr="00825C79">
        <w:rPr>
          <w:rStyle w:val="bold"/>
        </w:rPr>
        <w:t xml:space="preserve">The main point of this lesson is: </w:t>
      </w:r>
      <w:r w:rsidR="00825C79">
        <w:t>God’s holiness makes Him unique, distinct, and independent from everything and everyone else.</w:t>
      </w:r>
    </w:p>
    <w:p w14:paraId="4BE0DAF5" w14:textId="77777777" w:rsidR="00825C79" w:rsidRDefault="00825C79" w:rsidP="00825C79">
      <w:pPr>
        <w:pStyle w:val="bodynumberedlist"/>
      </w:pPr>
    </w:p>
    <w:p w14:paraId="76FD6CA4" w14:textId="77777777" w:rsidR="00825C79" w:rsidRDefault="00825C79" w:rsidP="00825C79">
      <w:pPr>
        <w:pStyle w:val="bodynumberedlist"/>
      </w:pPr>
      <w:r w:rsidRPr="00825C79">
        <w:rPr>
          <w:rStyle w:val="bold"/>
        </w:rPr>
        <w:t>Focus on this goal:</w:t>
      </w:r>
      <w:r>
        <w:t xml:space="preserve"> To help adults grow in their reverential fear of transcendent, holy </w:t>
      </w:r>
      <w:proofErr w:type="gramStart"/>
      <w:r>
        <w:t>God</w:t>
      </w:r>
      <w:proofErr w:type="gramEnd"/>
    </w:p>
    <w:p w14:paraId="13AC7764" w14:textId="77777777" w:rsidR="00825C79" w:rsidRDefault="00825C79" w:rsidP="00825C79">
      <w:pPr>
        <w:pStyle w:val="bodynumberedlist"/>
      </w:pPr>
    </w:p>
    <w:p w14:paraId="733DBEFE" w14:textId="77777777" w:rsidR="00825C79" w:rsidRDefault="00825C79" w:rsidP="00825C79">
      <w:pPr>
        <w:pStyle w:val="bodynumberedlist"/>
      </w:pPr>
      <w:r w:rsidRPr="00825C79">
        <w:rPr>
          <w:rStyle w:val="bold"/>
        </w:rPr>
        <w:t>Key Bible Passage:</w:t>
      </w:r>
      <w:r>
        <w:t xml:space="preserve"> Exodus 3:2-6</w:t>
      </w:r>
    </w:p>
    <w:p w14:paraId="338B407A" w14:textId="22D51A60" w:rsidR="003A4BB7" w:rsidRDefault="003A4BB7" w:rsidP="00825C7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2E25CE63" w14:textId="77777777" w:rsidR="00596B79" w:rsidRDefault="00596B79" w:rsidP="00596B79">
      <w:pPr>
        <w:pStyle w:val="bodynumberedlist"/>
      </w:pPr>
      <w:r w:rsidRPr="00596B79">
        <w:rPr>
          <w:rStyle w:val="bold"/>
        </w:rPr>
        <w:t>Ask</w:t>
      </w:r>
      <w:r>
        <w:t xml:space="preserve"> adults to indicate if they have visited the Grand Canyon. </w:t>
      </w:r>
      <w:r w:rsidRPr="00596B79">
        <w:rPr>
          <w:rStyle w:val="bold"/>
        </w:rPr>
        <w:t xml:space="preserve">Ask: </w:t>
      </w:r>
      <w:r w:rsidRPr="00596B79">
        <w:rPr>
          <w:rStyle w:val="italic"/>
          <w:rFonts w:eastAsiaTheme="majorEastAsia"/>
        </w:rPr>
        <w:t>What did seeing the Grand Canyon make you think and feel?</w:t>
      </w:r>
      <w:r w:rsidRPr="00596B79">
        <w:rPr>
          <w:rStyle w:val="italic"/>
        </w:rPr>
        <w:t xml:space="preserve"> </w:t>
      </w:r>
      <w:r w:rsidRPr="00596B79">
        <w:rPr>
          <w:rStyle w:val="bold"/>
        </w:rPr>
        <w:t>Determine</w:t>
      </w:r>
      <w:r>
        <w:t xml:space="preserve"> ways people can see the Grand Canyon (hike the rim or down into the canyon, ride a horse or train, raft the river, helicopter ride). </w:t>
      </w:r>
      <w:r w:rsidRPr="00596B79">
        <w:rPr>
          <w:rStyle w:val="bold"/>
        </w:rPr>
        <w:t>Ask:</w:t>
      </w:r>
      <w:r w:rsidRPr="00596B79">
        <w:rPr>
          <w:rStyle w:val="bold"/>
          <w:rFonts w:eastAsiaTheme="majorEastAsia"/>
        </w:rPr>
        <w:t xml:space="preserve"> </w:t>
      </w:r>
      <w:r w:rsidRPr="00596B79">
        <w:rPr>
          <w:rStyle w:val="italic"/>
          <w:rFonts w:eastAsiaTheme="majorEastAsia"/>
        </w:rPr>
        <w:t>Do you think anyone can ever fully take in all the Grand Canyon? Why? What can we learn about God from the Grand Canyon?</w:t>
      </w:r>
      <w:r>
        <w:t xml:space="preserve"> </w:t>
      </w:r>
    </w:p>
    <w:p w14:paraId="201741B1" w14:textId="77777777" w:rsidR="00596B79" w:rsidRDefault="00596B79" w:rsidP="00596B79">
      <w:pPr>
        <w:pStyle w:val="bodynumberedlist"/>
      </w:pPr>
    </w:p>
    <w:p w14:paraId="7B6B6BBA" w14:textId="77777777" w:rsidR="00596B79" w:rsidRDefault="00596B79" w:rsidP="00596B79">
      <w:pPr>
        <w:pStyle w:val="bodynumberedlist"/>
      </w:pPr>
      <w:r w:rsidRPr="00596B79">
        <w:rPr>
          <w:rStyle w:val="bold"/>
        </w:rPr>
        <w:t>State:</w:t>
      </w:r>
      <w:r w:rsidRPr="00596B79">
        <w:rPr>
          <w:rStyle w:val="bold"/>
          <w:rFonts w:eastAsiaTheme="majorEastAsia"/>
        </w:rPr>
        <w:t xml:space="preserve"> </w:t>
      </w:r>
      <w:r w:rsidRPr="00596B79">
        <w:rPr>
          <w:rStyle w:val="italic"/>
          <w:rFonts w:eastAsiaTheme="majorEastAsia"/>
        </w:rPr>
        <w:t>There’s no way to fully grasp the grandeur of God’s holiness; it’s just too immense. But just as people invest in ways to see specific parts of the Grand Canyon, we can focus on understanding specific aspects of God’s holiness, which Session 1 (p. 17) noted is “both His transcendence and His moral purity.”</w:t>
      </w:r>
      <w:r w:rsidRPr="00596B79">
        <w:rPr>
          <w:rStyle w:val="italic"/>
        </w:rPr>
        <w:t xml:space="preserve"> </w:t>
      </w:r>
      <w:r w:rsidRPr="00596B79">
        <w:rPr>
          <w:rStyle w:val="bold"/>
        </w:rPr>
        <w:t>Point out</w:t>
      </w:r>
      <w:r>
        <w:t xml:space="preserve"> Session 2 focused on God’s moral perfection. This session examines His transcendence. </w:t>
      </w:r>
    </w:p>
    <w:p w14:paraId="724FB12F" w14:textId="77777777" w:rsidR="00A15EB1" w:rsidRDefault="00A15EB1" w:rsidP="00FB171E">
      <w:pPr>
        <w:pStyle w:val="bodynumberedlist"/>
      </w:pPr>
    </w:p>
    <w:p w14:paraId="2A258ABD" w14:textId="77777777" w:rsidR="00596B79" w:rsidRPr="00C04AD0" w:rsidRDefault="00596B79" w:rsidP="00FB171E">
      <w:pPr>
        <w:pStyle w:val="bodynumberedlist"/>
      </w:pPr>
    </w:p>
    <w:p w14:paraId="5AD819B1" w14:textId="7C9359E9" w:rsidR="002A631F" w:rsidRPr="00EC1D81" w:rsidRDefault="002A631F" w:rsidP="0013528F">
      <w:pPr>
        <w:pStyle w:val="MWSub2"/>
      </w:pPr>
      <w:r w:rsidRPr="00C04AD0">
        <w:lastRenderedPageBreak/>
        <w:t xml:space="preserve">Step 2. </w:t>
      </w:r>
      <w:r w:rsidR="00825C79">
        <w:t>A Burning Bush, Part 1</w:t>
      </w:r>
    </w:p>
    <w:p w14:paraId="1BED692C" w14:textId="77777777" w:rsidR="00525195" w:rsidRPr="00C04AD0" w:rsidRDefault="00525195" w:rsidP="0013528F">
      <w:pPr>
        <w:pStyle w:val="bodynumberedlist"/>
      </w:pPr>
    </w:p>
    <w:p w14:paraId="3AEEE8C8" w14:textId="77777777" w:rsidR="00596B79" w:rsidRDefault="00596B79" w:rsidP="00596B79">
      <w:pPr>
        <w:pStyle w:val="bodynumberedlist"/>
      </w:pPr>
      <w:r w:rsidRPr="00596B79">
        <w:rPr>
          <w:rStyle w:val="bold"/>
        </w:rPr>
        <w:t>Discuss</w:t>
      </w:r>
      <w:r w:rsidRPr="00596B79">
        <w:t xml:space="preserve"> Day One, activity 1 (p. 36). </w:t>
      </w:r>
      <w:r w:rsidRPr="00596B79">
        <w:rPr>
          <w:rStyle w:val="bold"/>
        </w:rPr>
        <w:t>Ask</w:t>
      </w:r>
      <w:r w:rsidRPr="00596B79">
        <w:t xml:space="preserve"> why the bush wasn’t consumed by fire. </w:t>
      </w:r>
      <w:r w:rsidRPr="00596B79">
        <w:rPr>
          <w:rStyle w:val="bold"/>
        </w:rPr>
        <w:t>Point out</w:t>
      </w:r>
      <w:r w:rsidRPr="00596B79">
        <w:t xml:space="preserve"> it was the revelation of the transcendent God. </w:t>
      </w:r>
      <w:r w:rsidRPr="00596B79">
        <w:rPr>
          <w:rStyle w:val="bold"/>
        </w:rPr>
        <w:t>Invite</w:t>
      </w:r>
      <w:r w:rsidRPr="00596B79">
        <w:t xml:space="preserve"> adults to use their mobile devices to look up and read aloud definitions of transcendent. </w:t>
      </w:r>
    </w:p>
    <w:p w14:paraId="5712FADD" w14:textId="77777777" w:rsidR="00596B79" w:rsidRPr="00596B79" w:rsidRDefault="00596B79" w:rsidP="00596B79">
      <w:pPr>
        <w:pStyle w:val="bodynumberedlist"/>
      </w:pPr>
    </w:p>
    <w:p w14:paraId="7A651D7D" w14:textId="77777777" w:rsidR="00596B79" w:rsidRDefault="00596B79" w:rsidP="00596B79">
      <w:pPr>
        <w:pStyle w:val="bodynumberedlist"/>
      </w:pPr>
      <w:r w:rsidRPr="00596B79">
        <w:rPr>
          <w:rStyle w:val="bold"/>
        </w:rPr>
        <w:t>Encourage</w:t>
      </w:r>
      <w:r w:rsidRPr="00596B79">
        <w:t xml:space="preserve"> the group to determine items people put into categories (plants, animals, food, music). </w:t>
      </w:r>
      <w:r w:rsidRPr="00596B79">
        <w:rPr>
          <w:rStyle w:val="bold"/>
        </w:rPr>
        <w:t xml:space="preserve">Ask: </w:t>
      </w:r>
      <w:r w:rsidRPr="00596B79">
        <w:rPr>
          <w:rStyle w:val="italic"/>
          <w:rFonts w:eastAsiaTheme="majorEastAsia"/>
        </w:rPr>
        <w:t>What category can we put God in and why?</w:t>
      </w:r>
      <w:r w:rsidRPr="00596B79">
        <w:rPr>
          <w:rStyle w:val="italic"/>
        </w:rPr>
        <w:t xml:space="preserve"> </w:t>
      </w:r>
      <w:r w:rsidRPr="00596B79">
        <w:rPr>
          <w:rStyle w:val="bold"/>
        </w:rPr>
        <w:t>Explain</w:t>
      </w:r>
      <w:r w:rsidRPr="00596B79">
        <w:t xml:space="preserve"> God’s transcendence means there is no category for God; He is His own category. The “otherness” of God means He is totally distinct and separate from everything else and has never had to be taught anything. </w:t>
      </w:r>
    </w:p>
    <w:p w14:paraId="4CCA3660" w14:textId="77777777" w:rsidR="00596B79" w:rsidRPr="00596B79" w:rsidRDefault="00596B79" w:rsidP="00596B79">
      <w:pPr>
        <w:pStyle w:val="bodynumberedlist"/>
      </w:pPr>
    </w:p>
    <w:p w14:paraId="142946A3" w14:textId="77777777" w:rsidR="00596B79" w:rsidRPr="00596B79" w:rsidRDefault="00596B79" w:rsidP="00596B79">
      <w:pPr>
        <w:pStyle w:val="bodynumberedlist"/>
      </w:pPr>
      <w:r w:rsidRPr="00596B79">
        <w:rPr>
          <w:rStyle w:val="bold"/>
        </w:rPr>
        <w:t>Discuss</w:t>
      </w:r>
      <w:r w:rsidRPr="00596B79">
        <w:t xml:space="preserve"> Day One, activity 2 (p. 37). </w:t>
      </w:r>
      <w:r w:rsidRPr="00596B79">
        <w:rPr>
          <w:rStyle w:val="bold"/>
        </w:rPr>
        <w:t>Invite</w:t>
      </w:r>
      <w:r w:rsidRPr="00596B79">
        <w:t xml:space="preserve"> a volunteer to read the Day One Note (p. 37). </w:t>
      </w:r>
      <w:r w:rsidRPr="00596B79">
        <w:rPr>
          <w:rStyle w:val="bold"/>
        </w:rPr>
        <w:t xml:space="preserve">Declare: </w:t>
      </w:r>
      <w:r w:rsidRPr="00596B79">
        <w:rPr>
          <w:rStyle w:val="italic"/>
          <w:rFonts w:eastAsiaTheme="majorEastAsia"/>
        </w:rPr>
        <w:t>An awe-inspiring aspect of this transcendent God is that He is also immanent—near to us.</w:t>
      </w:r>
      <w:r w:rsidRPr="00596B79">
        <w:t xml:space="preserve"> </w:t>
      </w:r>
      <w:r w:rsidRPr="00596B79">
        <w:rPr>
          <w:rStyle w:val="bold"/>
        </w:rPr>
        <w:t>Invite</w:t>
      </w:r>
      <w:r w:rsidRPr="00596B79">
        <w:t xml:space="preserve"> a volunteer to read Isaiah 40:10-11. </w:t>
      </w:r>
    </w:p>
    <w:p w14:paraId="229B6D28" w14:textId="77777777" w:rsidR="007F7AF6" w:rsidRPr="00C04AD0" w:rsidRDefault="007F7AF6" w:rsidP="0013528F">
      <w:pPr>
        <w:pStyle w:val="bodynumberedlist"/>
      </w:pPr>
    </w:p>
    <w:p w14:paraId="61EC1039" w14:textId="0443A003" w:rsidR="005B4C82" w:rsidRPr="00EC1D81" w:rsidRDefault="005B4C82" w:rsidP="005B4C82">
      <w:pPr>
        <w:pStyle w:val="MWSub2"/>
      </w:pPr>
      <w:r w:rsidRPr="00C04AD0">
        <w:t xml:space="preserve">Step </w:t>
      </w:r>
      <w:r>
        <w:t>3</w:t>
      </w:r>
      <w:r w:rsidRPr="00C04AD0">
        <w:t xml:space="preserve">. </w:t>
      </w:r>
      <w:r w:rsidR="00825C79">
        <w:t>A Burning Bush, Part 2</w:t>
      </w:r>
    </w:p>
    <w:p w14:paraId="38374D59" w14:textId="77777777" w:rsidR="005B4C82" w:rsidRPr="00C04AD0" w:rsidRDefault="005B4C82" w:rsidP="005B4C82">
      <w:pPr>
        <w:pStyle w:val="bodynumberedlist"/>
      </w:pPr>
    </w:p>
    <w:p w14:paraId="5BD66626" w14:textId="77777777" w:rsidR="00596B79" w:rsidRDefault="00596B79" w:rsidP="00596B79">
      <w:pPr>
        <w:pStyle w:val="bodynumberedlist"/>
      </w:pPr>
      <w:r w:rsidRPr="00596B79">
        <w:rPr>
          <w:rStyle w:val="bold"/>
        </w:rPr>
        <w:t>Guide</w:t>
      </w:r>
      <w:r w:rsidRPr="00596B79">
        <w:t xml:space="preserve"> the group to explore how God’s transcendence is observable in a bush that wouldn’t burn. </w:t>
      </w:r>
      <w:r w:rsidRPr="00596B79">
        <w:rPr>
          <w:rStyle w:val="bold"/>
        </w:rPr>
        <w:t>Discuss</w:t>
      </w:r>
      <w:r w:rsidRPr="00596B79">
        <w:t xml:space="preserve"> Day Two, activity 1 (pp. 38-39). </w:t>
      </w:r>
    </w:p>
    <w:p w14:paraId="17E88F68" w14:textId="77777777" w:rsidR="00596B79" w:rsidRPr="00596B79" w:rsidRDefault="00596B79" w:rsidP="00596B79">
      <w:pPr>
        <w:pStyle w:val="bodynumberedlist"/>
      </w:pPr>
    </w:p>
    <w:p w14:paraId="4B19ACE6" w14:textId="77777777" w:rsidR="00596B79" w:rsidRPr="00596B79" w:rsidRDefault="00596B79" w:rsidP="00596B79">
      <w:pPr>
        <w:pStyle w:val="bodynumberedlist"/>
      </w:pPr>
      <w:r w:rsidRPr="00596B79">
        <w:rPr>
          <w:rStyle w:val="bold"/>
        </w:rPr>
        <w:t>Encourage</w:t>
      </w:r>
      <w:r w:rsidRPr="00596B79">
        <w:t xml:space="preserve"> adults to quote (or read aloud) Genesis 1:1. </w:t>
      </w:r>
      <w:r w:rsidRPr="00596B79">
        <w:rPr>
          <w:rStyle w:val="bold"/>
        </w:rPr>
        <w:t>Consider</w:t>
      </w:r>
      <w:r w:rsidRPr="00596B79">
        <w:t xml:space="preserve"> how the first verse of the Bible emphasizes God’s transcendence. </w:t>
      </w:r>
      <w:r w:rsidRPr="00596B79">
        <w:rPr>
          <w:rStyle w:val="bold"/>
        </w:rPr>
        <w:t>Discuss</w:t>
      </w:r>
      <w:r w:rsidRPr="00596B79">
        <w:t xml:space="preserve"> </w:t>
      </w:r>
      <w:r w:rsidRPr="00596B79">
        <w:rPr>
          <w:rFonts w:eastAsiaTheme="majorEastAsia"/>
        </w:rPr>
        <w:t>Day Two</w:t>
      </w:r>
      <w:r w:rsidRPr="00596B79">
        <w:t xml:space="preserve">, activity 2 (p. 40). </w:t>
      </w:r>
      <w:r w:rsidRPr="00596B79">
        <w:rPr>
          <w:rStyle w:val="bold"/>
        </w:rPr>
        <w:t>Determine</w:t>
      </w:r>
      <w:r w:rsidRPr="00596B79">
        <w:t xml:space="preserve"> how truths from Acts 17 can help us frame how we think about God and ourselves. </w:t>
      </w:r>
    </w:p>
    <w:p w14:paraId="4077149B" w14:textId="77777777" w:rsidR="005B4C82" w:rsidRPr="00C04AD0" w:rsidRDefault="005B4C82" w:rsidP="005B4C82">
      <w:pPr>
        <w:pStyle w:val="bodynumberedlist"/>
      </w:pPr>
    </w:p>
    <w:p w14:paraId="335E5574" w14:textId="19DD3AFB" w:rsidR="005B4C82" w:rsidRPr="00EC1D81" w:rsidRDefault="005B4C82" w:rsidP="005B4C82">
      <w:pPr>
        <w:pStyle w:val="MWSub2"/>
      </w:pPr>
      <w:r w:rsidRPr="00C04AD0">
        <w:t xml:space="preserve">Step </w:t>
      </w:r>
      <w:r>
        <w:t>4</w:t>
      </w:r>
      <w:r w:rsidRPr="00C04AD0">
        <w:t xml:space="preserve">. </w:t>
      </w:r>
      <w:r w:rsidR="00825C79">
        <w:t>There’s Nobody Like the Lord, Part 1</w:t>
      </w:r>
    </w:p>
    <w:p w14:paraId="45010022" w14:textId="77777777" w:rsidR="005B4C82" w:rsidRPr="00C04AD0" w:rsidRDefault="005B4C82" w:rsidP="005B4C82">
      <w:pPr>
        <w:pStyle w:val="bodynumberedlist"/>
      </w:pPr>
    </w:p>
    <w:p w14:paraId="69F57BF9" w14:textId="77777777" w:rsidR="00596B79" w:rsidRDefault="00596B79" w:rsidP="00596B79">
      <w:pPr>
        <w:pStyle w:val="bodynumberedlist"/>
      </w:pPr>
      <w:r w:rsidRPr="00596B79">
        <w:rPr>
          <w:rStyle w:val="bold"/>
        </w:rPr>
        <w:t>Request</w:t>
      </w:r>
      <w:r w:rsidRPr="00596B79">
        <w:t xml:space="preserve"> volunteers read Isaiah 40:18; Psalm 71:19; Psalm 86:8; and Exodus 15:11. </w:t>
      </w:r>
      <w:r w:rsidRPr="00596B79">
        <w:rPr>
          <w:rStyle w:val="bold"/>
        </w:rPr>
        <w:t>Inquire</w:t>
      </w:r>
      <w:r w:rsidRPr="00596B79">
        <w:t xml:space="preserve"> what each of these verses declare about God. </w:t>
      </w:r>
      <w:r w:rsidRPr="00596B79">
        <w:rPr>
          <w:rStyle w:val="bold"/>
        </w:rPr>
        <w:t>Determine</w:t>
      </w:r>
      <w:r w:rsidRPr="00596B79">
        <w:t xml:space="preserve"> how the biblical writers responded to God’s otherness. </w:t>
      </w:r>
    </w:p>
    <w:p w14:paraId="45454CF8" w14:textId="77777777" w:rsidR="00596B79" w:rsidRPr="00596B79" w:rsidRDefault="00596B79" w:rsidP="00596B79">
      <w:pPr>
        <w:pStyle w:val="bodynumberedlist"/>
      </w:pPr>
    </w:p>
    <w:p w14:paraId="09A1EFDA" w14:textId="77777777" w:rsidR="00596B79" w:rsidRDefault="00596B79" w:rsidP="00596B79">
      <w:pPr>
        <w:pStyle w:val="bodynumberedlist"/>
      </w:pPr>
      <w:r w:rsidRPr="00596B79">
        <w:rPr>
          <w:rStyle w:val="bold"/>
        </w:rPr>
        <w:t>Invite</w:t>
      </w:r>
      <w:r w:rsidRPr="00596B79">
        <w:t xml:space="preserve"> volunteers to share their responses to Day Three, activity 1 (p. 41). </w:t>
      </w:r>
      <w:r w:rsidRPr="00596B79">
        <w:rPr>
          <w:rStyle w:val="bold"/>
        </w:rPr>
        <w:t>Request</w:t>
      </w:r>
      <w:r w:rsidRPr="00596B79">
        <w:t xml:space="preserve"> another volunteer read the Day Three Note (p. 41). </w:t>
      </w:r>
      <w:r w:rsidRPr="00596B79">
        <w:rPr>
          <w:rStyle w:val="bold"/>
        </w:rPr>
        <w:t>Ask</w:t>
      </w:r>
      <w:r w:rsidRPr="00596B79">
        <w:t xml:space="preserve"> if adults agree and why. </w:t>
      </w:r>
      <w:r w:rsidRPr="00596B79">
        <w:rPr>
          <w:rStyle w:val="bold"/>
        </w:rPr>
        <w:t>Determine</w:t>
      </w:r>
      <w:r w:rsidRPr="00596B79">
        <w:t xml:space="preserve"> specific ways people, including Christians, treat God as commonplace. </w:t>
      </w:r>
      <w:r w:rsidRPr="00596B79">
        <w:rPr>
          <w:rStyle w:val="bold"/>
        </w:rPr>
        <w:t xml:space="preserve">Ask: </w:t>
      </w:r>
      <w:r w:rsidRPr="00596B79">
        <w:rPr>
          <w:rStyle w:val="italic"/>
          <w:rFonts w:eastAsiaTheme="majorEastAsia"/>
        </w:rPr>
        <w:t>How can we avoid treating God as commonplace?</w:t>
      </w:r>
      <w:r w:rsidRPr="00596B79">
        <w:rPr>
          <w:rStyle w:val="italic"/>
        </w:rPr>
        <w:t xml:space="preserve"> </w:t>
      </w:r>
      <w:r w:rsidRPr="00596B79">
        <w:t xml:space="preserve">(One way is to recall “Who is like you?” verses.) </w:t>
      </w:r>
    </w:p>
    <w:p w14:paraId="497CA8A2" w14:textId="77777777" w:rsidR="00596B79" w:rsidRPr="00596B79" w:rsidRDefault="00596B79" w:rsidP="00596B79">
      <w:pPr>
        <w:pStyle w:val="bodynumberedlist"/>
      </w:pPr>
    </w:p>
    <w:p w14:paraId="247B435B" w14:textId="77777777" w:rsidR="00596B79" w:rsidRDefault="00596B79" w:rsidP="00596B79">
      <w:pPr>
        <w:pStyle w:val="bodynumberedlist"/>
      </w:pPr>
      <w:r w:rsidRPr="00596B79">
        <w:rPr>
          <w:rStyle w:val="bold"/>
        </w:rPr>
        <w:t>Request</w:t>
      </w:r>
      <w:r w:rsidRPr="00596B79">
        <w:t xml:space="preserve"> a volunteer read Ezekiel 1:26-29. </w:t>
      </w:r>
      <w:r w:rsidRPr="00596B79">
        <w:rPr>
          <w:rStyle w:val="bold"/>
        </w:rPr>
        <w:t xml:space="preserve">Ask: </w:t>
      </w:r>
      <w:r w:rsidRPr="00596B79">
        <w:rPr>
          <w:rStyle w:val="italic"/>
          <w:rFonts w:eastAsiaTheme="majorEastAsia"/>
        </w:rPr>
        <w:t>How was God’s transcendent otherness revealed to Ezekiel? Why did he use words like “likeness” and “appearance” when relating his experience?</w:t>
      </w:r>
      <w:r w:rsidRPr="00596B79">
        <w:t xml:space="preserve"> </w:t>
      </w:r>
    </w:p>
    <w:p w14:paraId="547D510D" w14:textId="77777777" w:rsidR="00596B79" w:rsidRPr="00596B79" w:rsidRDefault="00596B79" w:rsidP="00596B79">
      <w:pPr>
        <w:pStyle w:val="bodynumberedlist"/>
      </w:pPr>
    </w:p>
    <w:p w14:paraId="27D3C6A3" w14:textId="77777777" w:rsidR="00596B79" w:rsidRPr="00596B79" w:rsidRDefault="00596B79" w:rsidP="00596B79">
      <w:pPr>
        <w:pStyle w:val="bodynumberedlist"/>
        <w:rPr>
          <w:rFonts w:eastAsiaTheme="majorEastAsia"/>
        </w:rPr>
      </w:pPr>
      <w:r w:rsidRPr="00596B79">
        <w:rPr>
          <w:rStyle w:val="bold"/>
        </w:rPr>
        <w:t>Read</w:t>
      </w:r>
      <w:r w:rsidRPr="00596B79">
        <w:t xml:space="preserve"> the last two sentences of Day Three (p. 42), that are framed as questions. </w:t>
      </w:r>
      <w:r w:rsidRPr="00596B79">
        <w:rPr>
          <w:rStyle w:val="bold"/>
        </w:rPr>
        <w:t>State</w:t>
      </w:r>
      <w:r w:rsidRPr="00596B79">
        <w:t xml:space="preserve"> “Only a Holy God,”</w:t>
      </w:r>
      <w:r w:rsidRPr="00596B79">
        <w:rPr>
          <w:vertAlign w:val="superscript"/>
        </w:rPr>
        <w:t xml:space="preserve">1 </w:t>
      </w:r>
      <w:r w:rsidRPr="00596B79">
        <w:t xml:space="preserve">a worship song, asks a similar series of questions about God and concludes only holy God. </w:t>
      </w:r>
      <w:r w:rsidRPr="00596B79">
        <w:rPr>
          <w:rStyle w:val="bold"/>
        </w:rPr>
        <w:t>Read</w:t>
      </w:r>
      <w:r w:rsidRPr="00596B79">
        <w:rPr>
          <w:b/>
          <w:bCs/>
        </w:rPr>
        <w:t xml:space="preserve"> </w:t>
      </w:r>
      <w:r w:rsidRPr="00596B79">
        <w:t>or</w:t>
      </w:r>
      <w:r w:rsidRPr="00596B79">
        <w:rPr>
          <w:b/>
          <w:bCs/>
        </w:rPr>
        <w:t xml:space="preserve"> </w:t>
      </w:r>
      <w:r w:rsidRPr="00596B79">
        <w:rPr>
          <w:rStyle w:val="bold"/>
        </w:rPr>
        <w:t>direct learners</w:t>
      </w:r>
      <w:r w:rsidRPr="00596B79">
        <w:t xml:space="preserve"> to review some of those questions and the answer.</w:t>
      </w:r>
    </w:p>
    <w:p w14:paraId="04795D0C" w14:textId="77777777" w:rsidR="005B4C82" w:rsidRPr="00C04AD0" w:rsidRDefault="005B4C82" w:rsidP="005B4C82">
      <w:pPr>
        <w:pStyle w:val="bodynumberedlist"/>
      </w:pPr>
    </w:p>
    <w:p w14:paraId="3EF34670" w14:textId="69FF4C6D" w:rsidR="005B4C82" w:rsidRPr="00EC1D81" w:rsidRDefault="005B4C82" w:rsidP="005B4C82">
      <w:pPr>
        <w:pStyle w:val="MWSub2"/>
      </w:pPr>
      <w:r w:rsidRPr="00C04AD0">
        <w:lastRenderedPageBreak/>
        <w:t xml:space="preserve">Step </w:t>
      </w:r>
      <w:r>
        <w:t>5</w:t>
      </w:r>
      <w:r w:rsidRPr="00C04AD0">
        <w:t xml:space="preserve">. </w:t>
      </w:r>
      <w:r w:rsidR="00825C79">
        <w:t>There’s Nobody Like the Lord, Part 2</w:t>
      </w:r>
    </w:p>
    <w:p w14:paraId="15E20F8E" w14:textId="77777777" w:rsidR="005B4C82" w:rsidRPr="00C04AD0" w:rsidRDefault="005B4C82" w:rsidP="005B4C82">
      <w:pPr>
        <w:pStyle w:val="bodynumberedlist"/>
      </w:pPr>
    </w:p>
    <w:p w14:paraId="2B2EA7AA" w14:textId="77777777" w:rsidR="00596B79" w:rsidRDefault="00596B79" w:rsidP="00596B79">
      <w:pPr>
        <w:pStyle w:val="bodynumberedlist"/>
      </w:pPr>
      <w:r w:rsidRPr="00596B79">
        <w:rPr>
          <w:rStyle w:val="bold"/>
        </w:rPr>
        <w:t>Request</w:t>
      </w:r>
      <w:r w:rsidRPr="00596B79">
        <w:t xml:space="preserve"> adults read the first few sentences of Day Four (pp. 42-43) and identify an error we make when we neglect considering God’s transcendence. </w:t>
      </w:r>
    </w:p>
    <w:p w14:paraId="6DD79B8C" w14:textId="77777777" w:rsidR="00596B79" w:rsidRPr="00596B79" w:rsidRDefault="00596B79" w:rsidP="00596B79">
      <w:pPr>
        <w:pStyle w:val="bodynumberedlist"/>
      </w:pPr>
    </w:p>
    <w:p w14:paraId="37E2E9FE" w14:textId="77777777" w:rsidR="00596B79" w:rsidRDefault="00596B79" w:rsidP="00596B79">
      <w:pPr>
        <w:pStyle w:val="bodynumberedlist"/>
      </w:pPr>
      <w:r w:rsidRPr="00596B79">
        <w:rPr>
          <w:rStyle w:val="bold"/>
        </w:rPr>
        <w:t xml:space="preserve">Discuss: </w:t>
      </w:r>
      <w:r w:rsidRPr="00596B79">
        <w:rPr>
          <w:rStyle w:val="italic"/>
          <w:rFonts w:eastAsiaTheme="majorEastAsia"/>
        </w:rPr>
        <w:t>How does saying “Love is God” disregard the holiness of God? What happens when our experiences with love become the primary framework by which we understand God?</w:t>
      </w:r>
      <w:r w:rsidRPr="00596B79">
        <w:t xml:space="preserve"> </w:t>
      </w:r>
      <w:r w:rsidRPr="00596B79">
        <w:rPr>
          <w:rStyle w:val="bold"/>
        </w:rPr>
        <w:t>Read</w:t>
      </w:r>
      <w:r w:rsidRPr="00596B79">
        <w:t xml:space="preserve"> from the second paragraph of Day Four (p. 43), beginning with, “What happens is this: When we read the sentence, ‘God is love’ disconnected . . .” to the end of the paragraph. </w:t>
      </w:r>
    </w:p>
    <w:p w14:paraId="4A1F2BCB" w14:textId="77777777" w:rsidR="00596B79" w:rsidRPr="00596B79" w:rsidRDefault="00596B79" w:rsidP="00596B79">
      <w:pPr>
        <w:pStyle w:val="bodynumberedlist"/>
      </w:pPr>
    </w:p>
    <w:p w14:paraId="173788D2" w14:textId="77777777" w:rsidR="00596B79" w:rsidRPr="00596B79" w:rsidRDefault="00596B79" w:rsidP="00596B79">
      <w:pPr>
        <w:pStyle w:val="bodynumberedlist"/>
      </w:pPr>
      <w:r w:rsidRPr="00596B79">
        <w:rPr>
          <w:rStyle w:val="bold"/>
        </w:rPr>
        <w:t>Discuss</w:t>
      </w:r>
      <w:r w:rsidRPr="00596B79">
        <w:t xml:space="preserve"> Day Four, activity 1 (p. 43). </w:t>
      </w:r>
      <w:r w:rsidRPr="00596B79">
        <w:rPr>
          <w:rStyle w:val="bold"/>
        </w:rPr>
        <w:t>Read and discuss</w:t>
      </w:r>
      <w:r w:rsidRPr="00596B79">
        <w:t xml:space="preserve"> the last paragraph of Day Four (p. 44). </w:t>
      </w:r>
    </w:p>
    <w:p w14:paraId="0D7576D2" w14:textId="77777777" w:rsidR="00CC7444" w:rsidRPr="00C04AD0" w:rsidRDefault="00CC7444" w:rsidP="005B4C82">
      <w:pPr>
        <w:pStyle w:val="bodynumberedlist"/>
      </w:pPr>
    </w:p>
    <w:p w14:paraId="28E5F39A" w14:textId="6028A4D4" w:rsidR="005B4C82" w:rsidRPr="00EC1D81" w:rsidRDefault="005B4C82" w:rsidP="005B4C82">
      <w:pPr>
        <w:pStyle w:val="MWSub2"/>
      </w:pPr>
      <w:r w:rsidRPr="00C04AD0">
        <w:t xml:space="preserve">Step </w:t>
      </w:r>
      <w:r>
        <w:t>6</w:t>
      </w:r>
      <w:r w:rsidRPr="00C04AD0">
        <w:t xml:space="preserve">. </w:t>
      </w:r>
      <w:r w:rsidR="00825C79">
        <w:t>The Transcendent Lord</w:t>
      </w:r>
    </w:p>
    <w:p w14:paraId="18BF2E1E" w14:textId="77777777" w:rsidR="005B4C82" w:rsidRPr="00C04AD0" w:rsidRDefault="005B4C82" w:rsidP="005B4C82">
      <w:pPr>
        <w:pStyle w:val="bodynumberedlist"/>
      </w:pPr>
    </w:p>
    <w:p w14:paraId="12192A4A" w14:textId="77777777" w:rsidR="00984ABD" w:rsidRDefault="00984ABD" w:rsidP="00984ABD">
      <w:pPr>
        <w:pStyle w:val="bodynumberedlist"/>
      </w:pPr>
      <w:r w:rsidRPr="00984ABD">
        <w:rPr>
          <w:rStyle w:val="bold"/>
        </w:rPr>
        <w:t xml:space="preserve">Observe: </w:t>
      </w:r>
      <w:r w:rsidRPr="00984ABD">
        <w:rPr>
          <w:rStyle w:val="italic"/>
          <w:rFonts w:eastAsiaTheme="majorEastAsia"/>
        </w:rPr>
        <w:t>Just as a people put coins in a viewing scope at the Grand Canyon to zoom in on a specific feature, so Day Five zooms in on some specifics of God’s transcendence.</w:t>
      </w:r>
      <w:r w:rsidRPr="00984ABD">
        <w:t xml:space="preserve"> </w:t>
      </w:r>
      <w:r w:rsidRPr="00984ABD">
        <w:rPr>
          <w:rStyle w:val="bold"/>
          <w:rFonts w:eastAsiaTheme="majorEastAsia"/>
        </w:rPr>
        <w:t xml:space="preserve">Ask: </w:t>
      </w:r>
      <w:r w:rsidRPr="00984ABD">
        <w:rPr>
          <w:rStyle w:val="italic"/>
          <w:rFonts w:eastAsiaTheme="majorEastAsia"/>
        </w:rPr>
        <w:t>What specific feature is revealed by Isaiah 55:9? How can that truth of God’s holiness help you trust Him? How does the gospel reveal God’s transcendence?</w:t>
      </w:r>
      <w:r w:rsidRPr="00984ABD">
        <w:t xml:space="preserve"> </w:t>
      </w:r>
    </w:p>
    <w:p w14:paraId="53EDEDE1" w14:textId="77777777" w:rsidR="00984ABD" w:rsidRPr="00984ABD" w:rsidRDefault="00984ABD" w:rsidP="00984ABD">
      <w:pPr>
        <w:pStyle w:val="bodynumberedlist"/>
      </w:pPr>
    </w:p>
    <w:p w14:paraId="6A78186B" w14:textId="77777777" w:rsidR="00984ABD" w:rsidRPr="00984ABD" w:rsidRDefault="00984ABD" w:rsidP="00984ABD">
      <w:pPr>
        <w:pStyle w:val="bodynumberedlist"/>
      </w:pPr>
      <w:r w:rsidRPr="00984ABD">
        <w:rPr>
          <w:rStyle w:val="bold"/>
        </w:rPr>
        <w:t>Discuss</w:t>
      </w:r>
      <w:r w:rsidRPr="00984ABD">
        <w:t xml:space="preserve"> Day Five, activities 1 (p. 45) and 2 (p. 46). </w:t>
      </w:r>
      <w:r w:rsidRPr="00984ABD">
        <w:rPr>
          <w:rStyle w:val="bold"/>
        </w:rPr>
        <w:t>Invite</w:t>
      </w:r>
      <w:r w:rsidRPr="00984ABD">
        <w:t xml:space="preserve"> a volunteer to read the final paragraph of Day Five (p. 46).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48BD4590" w14:textId="77777777" w:rsidR="00984ABD" w:rsidRDefault="00984ABD" w:rsidP="00984ABD">
      <w:pPr>
        <w:pStyle w:val="bodynumberedlist"/>
      </w:pPr>
      <w:r w:rsidRPr="00984ABD">
        <w:rPr>
          <w:rStyle w:val="bold"/>
          <w:rFonts w:eastAsiaTheme="majorEastAsia"/>
        </w:rPr>
        <w:t>Ask:</w:t>
      </w:r>
      <w:r w:rsidRPr="00984ABD">
        <w:rPr>
          <w:rStyle w:val="bold"/>
        </w:rPr>
        <w:t xml:space="preserve"> </w:t>
      </w:r>
      <w:r w:rsidRPr="00984ABD">
        <w:rPr>
          <w:rStyle w:val="italic"/>
        </w:rPr>
        <w:t>Do we need to see something like the Grand Canyon to be in awe of God? What do we need to see to grow in our reverential fear of God? How can we gain a better glimpse of God’s transcendent holiness?</w:t>
      </w:r>
      <w:r w:rsidRPr="00984ABD">
        <w:t xml:space="preserve"> </w:t>
      </w:r>
    </w:p>
    <w:p w14:paraId="617478A5" w14:textId="77777777" w:rsidR="00984ABD" w:rsidRPr="00984ABD" w:rsidRDefault="00984ABD" w:rsidP="00984ABD">
      <w:pPr>
        <w:pStyle w:val="bodynumberedlist"/>
      </w:pPr>
    </w:p>
    <w:p w14:paraId="2022812D" w14:textId="77777777" w:rsidR="00984ABD" w:rsidRDefault="00984ABD" w:rsidP="00984ABD">
      <w:pPr>
        <w:pStyle w:val="bodynumberedlist"/>
      </w:pPr>
      <w:r w:rsidRPr="00984ABD">
        <w:rPr>
          <w:rStyle w:val="bold"/>
          <w:rFonts w:eastAsiaTheme="majorEastAsia"/>
        </w:rPr>
        <w:t>Invite</w:t>
      </w:r>
      <w:r w:rsidRPr="00984ABD">
        <w:t xml:space="preserve"> a volunteer to read their song of worship from Day Three, activity 2 (p. 41) as your closing prayer. </w:t>
      </w:r>
    </w:p>
    <w:p w14:paraId="61C6B0C2" w14:textId="77777777" w:rsidR="00984ABD" w:rsidRPr="00984ABD" w:rsidRDefault="00984ABD" w:rsidP="00984ABD">
      <w:pPr>
        <w:pStyle w:val="bodynumberedlist"/>
      </w:pPr>
    </w:p>
    <w:p w14:paraId="66C26959" w14:textId="77777777" w:rsidR="00984ABD" w:rsidRPr="00984ABD" w:rsidRDefault="00984ABD" w:rsidP="00984ABD">
      <w:pPr>
        <w:pStyle w:val="bodynumberedlist"/>
      </w:pPr>
      <w:r w:rsidRPr="00984ABD">
        <w:t xml:space="preserve">(OPTION: </w:t>
      </w:r>
      <w:r w:rsidRPr="00984ABD">
        <w:rPr>
          <w:rStyle w:val="bold"/>
          <w:rFonts w:eastAsiaTheme="majorEastAsia"/>
        </w:rPr>
        <w:t>Play</w:t>
      </w:r>
      <w:r w:rsidRPr="00984ABD">
        <w:t xml:space="preserve"> a recording of or </w:t>
      </w:r>
      <w:r w:rsidRPr="00984ABD">
        <w:rPr>
          <w:rStyle w:val="bold"/>
          <w:rFonts w:eastAsiaTheme="majorEastAsia"/>
        </w:rPr>
        <w:t>read</w:t>
      </w:r>
      <w:r w:rsidRPr="00984ABD">
        <w:t xml:space="preserve"> the lyrics to “Only a Holy God” by </w:t>
      </w:r>
      <w:proofErr w:type="spellStart"/>
      <w:r w:rsidRPr="00984ABD">
        <w:t>CityAlight</w:t>
      </w:r>
      <w:proofErr w:type="spellEnd"/>
      <w:r w:rsidRPr="00984ABD">
        <w:t xml:space="preserve"> as your closing prayer.)</w:t>
      </w:r>
    </w:p>
    <w:p w14:paraId="1324DD21" w14:textId="77777777" w:rsidR="00984ABD" w:rsidRDefault="00984ABD" w:rsidP="00984ABD">
      <w:pPr>
        <w:pStyle w:val="bodynumberedlist"/>
        <w:rPr>
          <w:rFonts w:ascii="Adobe Jenson Pro Lt" w:hAnsi="Adobe Jenson Pro Lt" w:cs="Adobe Jenson Pro Lt"/>
          <w:spacing w:val="-1"/>
          <w:sz w:val="16"/>
          <w:szCs w:val="16"/>
        </w:rPr>
      </w:pPr>
    </w:p>
    <w:p w14:paraId="4B50588B" w14:textId="3EEDA33B" w:rsidR="00984ABD" w:rsidRPr="00984ABD" w:rsidRDefault="00984ABD" w:rsidP="00984ABD">
      <w:pPr>
        <w:pStyle w:val="bodynumberedlist"/>
        <w:rPr>
          <w:rFonts w:ascii="Adobe Jenson Pro Lt" w:hAnsi="Adobe Jenson Pro Lt" w:cs="Adobe Jenson Pro Lt"/>
          <w:spacing w:val="-1"/>
          <w:sz w:val="16"/>
          <w:szCs w:val="16"/>
        </w:rPr>
      </w:pPr>
      <w:r>
        <w:rPr>
          <w:rFonts w:ascii="Adobe Jenson Pro Lt" w:hAnsi="Adobe Jenson Pro Lt" w:cs="Adobe Jenson Pro Lt"/>
          <w:spacing w:val="-1"/>
          <w:sz w:val="16"/>
          <w:szCs w:val="16"/>
        </w:rPr>
        <w:t>1.</w:t>
      </w:r>
      <w:r w:rsidRPr="00984ABD">
        <w:rPr>
          <w:rFonts w:ascii="Adobe Jenson Pro Lt" w:hAnsi="Adobe Jenson Pro Lt" w:cs="Adobe Jenson Pro Lt"/>
          <w:spacing w:val="-1"/>
          <w:sz w:val="16"/>
          <w:szCs w:val="16"/>
        </w:rPr>
        <w:t>https://www.google.com/search?q=only+a+holy+god+lyrics&amp;oq=only&amp;aqs=chrome.0.69i59l2j69i57j46i67i650j0i67i650j46i67i340i650l2j69i61.2489j0j7&amp;sourceid=chrome&amp;ie=UTF-8</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49A82" w14:textId="77777777" w:rsidR="00686E01" w:rsidRDefault="00686E01">
      <w:r>
        <w:separator/>
      </w:r>
    </w:p>
  </w:endnote>
  <w:endnote w:type="continuationSeparator" w:id="0">
    <w:p w14:paraId="208B140B" w14:textId="77777777" w:rsidR="00686E01" w:rsidRDefault="0068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panose1 w:val="020B0604020202020204"/>
    <w:charset w:val="00"/>
    <w:family w:val="swiss"/>
    <w:notTrueType/>
    <w:pitch w:val="variable"/>
    <w:sig w:usb0="A00000AF" w:usb1="5000205B" w:usb2="00000000" w:usb3="00000000" w:csb0="00000093" w:csb1="00000000"/>
  </w:font>
  <w:font w:name="CronosPro-Bold">
    <w:panose1 w:val="020B0604020202020204"/>
    <w:charset w:val="00"/>
    <w:family w:val="swiss"/>
    <w:notTrueType/>
    <w:pitch w:val="variable"/>
    <w:sig w:usb0="A00000AF" w:usb1="5000205B" w:usb2="00000000" w:usb3="00000000" w:csb0="00000093" w:csb1="00000000"/>
  </w:font>
  <w:font w:name="HorleyOldStyleMTStd">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Adobe Jenson Pro Lt">
    <w:panose1 w:val="020A0503050201030203"/>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8A7E" w14:textId="77777777" w:rsidR="00686E01" w:rsidRDefault="00686E01">
      <w:r>
        <w:separator/>
      </w:r>
    </w:p>
  </w:footnote>
  <w:footnote w:type="continuationSeparator" w:id="0">
    <w:p w14:paraId="1DAFDFE6" w14:textId="77777777" w:rsidR="00686E01" w:rsidRDefault="00686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FE5BF2"/>
    <w:multiLevelType w:val="hybridMultilevel"/>
    <w:tmpl w:val="DF1E4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5A7209"/>
    <w:multiLevelType w:val="hybridMultilevel"/>
    <w:tmpl w:val="6C6E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6"/>
  </w:num>
  <w:num w:numId="2" w16cid:durableId="446702835">
    <w:abstractNumId w:val="16"/>
  </w:num>
  <w:num w:numId="3" w16cid:durableId="1168641524">
    <w:abstractNumId w:val="19"/>
  </w:num>
  <w:num w:numId="4" w16cid:durableId="1127702003">
    <w:abstractNumId w:val="38"/>
  </w:num>
  <w:num w:numId="5" w16cid:durableId="1078593719">
    <w:abstractNumId w:val="25"/>
  </w:num>
  <w:num w:numId="6" w16cid:durableId="1224415520">
    <w:abstractNumId w:val="28"/>
  </w:num>
  <w:num w:numId="7" w16cid:durableId="1633485738">
    <w:abstractNumId w:val="23"/>
  </w:num>
  <w:num w:numId="8" w16cid:durableId="658579466">
    <w:abstractNumId w:val="24"/>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2"/>
  </w:num>
  <w:num w:numId="14" w16cid:durableId="106583787">
    <w:abstractNumId w:val="18"/>
  </w:num>
  <w:num w:numId="15" w16cid:durableId="2144345501">
    <w:abstractNumId w:val="39"/>
  </w:num>
  <w:num w:numId="16" w16cid:durableId="1630353565">
    <w:abstractNumId w:val="11"/>
  </w:num>
  <w:num w:numId="17" w16cid:durableId="1150902999">
    <w:abstractNumId w:val="34"/>
  </w:num>
  <w:num w:numId="18" w16cid:durableId="51736667">
    <w:abstractNumId w:val="35"/>
  </w:num>
  <w:num w:numId="19" w16cid:durableId="585653607">
    <w:abstractNumId w:val="29"/>
  </w:num>
  <w:num w:numId="20" w16cid:durableId="1831210546">
    <w:abstractNumId w:val="17"/>
  </w:num>
  <w:num w:numId="21" w16cid:durableId="966424937">
    <w:abstractNumId w:val="40"/>
  </w:num>
  <w:num w:numId="22" w16cid:durableId="190844181">
    <w:abstractNumId w:val="31"/>
  </w:num>
  <w:num w:numId="23" w16cid:durableId="865483984">
    <w:abstractNumId w:val="41"/>
  </w:num>
  <w:num w:numId="24" w16cid:durableId="923032642">
    <w:abstractNumId w:val="33"/>
  </w:num>
  <w:num w:numId="25" w16cid:durableId="713428505">
    <w:abstractNumId w:val="14"/>
  </w:num>
  <w:num w:numId="26" w16cid:durableId="310017348">
    <w:abstractNumId w:val="32"/>
  </w:num>
  <w:num w:numId="27" w16cid:durableId="663239176">
    <w:abstractNumId w:val="30"/>
  </w:num>
  <w:num w:numId="28" w16cid:durableId="2134906544">
    <w:abstractNumId w:val="27"/>
  </w:num>
  <w:num w:numId="29" w16cid:durableId="1431775428">
    <w:abstractNumId w:val="36"/>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 w:numId="41" w16cid:durableId="1693803564">
    <w:abstractNumId w:val="37"/>
  </w:num>
  <w:num w:numId="42" w16cid:durableId="209539411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6F8D"/>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1D24"/>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BB"/>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6C1"/>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0D5E"/>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3D75"/>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6B79"/>
    <w:rsid w:val="0059704A"/>
    <w:rsid w:val="005973F4"/>
    <w:rsid w:val="00597497"/>
    <w:rsid w:val="005979F0"/>
    <w:rsid w:val="00597B3B"/>
    <w:rsid w:val="00597E25"/>
    <w:rsid w:val="005A02C3"/>
    <w:rsid w:val="005A089B"/>
    <w:rsid w:val="005A0D5A"/>
    <w:rsid w:val="005A120E"/>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6E0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CC"/>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B1A"/>
    <w:rsid w:val="00790DF4"/>
    <w:rsid w:val="00791442"/>
    <w:rsid w:val="00791455"/>
    <w:rsid w:val="00792396"/>
    <w:rsid w:val="00792684"/>
    <w:rsid w:val="00792797"/>
    <w:rsid w:val="007929DD"/>
    <w:rsid w:val="00792A99"/>
    <w:rsid w:val="00792ABB"/>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5C79"/>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4ABD"/>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7CE"/>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5A47"/>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460"/>
    <w:rsid w:val="00AB17FD"/>
    <w:rsid w:val="00AB1CEF"/>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5BDD"/>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43"/>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0FCF"/>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115"/>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3913"/>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3C83"/>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18E0"/>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825C79"/>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596B79"/>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596B79"/>
    <w:rPr>
      <w:b/>
      <w:bCs/>
      <w:lang w:val="en-US"/>
    </w:rPr>
  </w:style>
  <w:style w:type="character" w:customStyle="1" w:styleId="ItalicSansNewStyles2022">
    <w:name w:val="Italic_Sans (New Styles 2022)"/>
    <w:uiPriority w:val="99"/>
    <w:rsid w:val="00596B79"/>
    <w:rPr>
      <w:i/>
      <w:iCs/>
      <w:color w:val="000000"/>
      <w:lang w:val="en-US"/>
    </w:rPr>
  </w:style>
  <w:style w:type="character" w:customStyle="1" w:styleId="NoBreakNewStyles2022">
    <w:name w:val="No_Break (New Styles 2022)"/>
    <w:uiPriority w:val="99"/>
    <w:rsid w:val="00596B79"/>
  </w:style>
  <w:style w:type="character" w:customStyle="1" w:styleId="SuperscriptNewStyles2022">
    <w:name w:val="Superscript (New Styles 2022)"/>
    <w:uiPriority w:val="99"/>
    <w:rsid w:val="00596B79"/>
    <w:rPr>
      <w:vertAlign w:val="superscript"/>
    </w:rPr>
  </w:style>
  <w:style w:type="paragraph" w:customStyle="1" w:styleId="FootnoteNewStyles2022">
    <w:name w:val="Footnote (New Styles 2022)"/>
    <w:basedOn w:val="NoParagraphStyle"/>
    <w:uiPriority w:val="99"/>
    <w:rsid w:val="00984ABD"/>
    <w:pPr>
      <w:widowControl/>
      <w:tabs>
        <w:tab w:val="left" w:pos="180"/>
      </w:tabs>
      <w:spacing w:line="180" w:lineRule="atLeast"/>
      <w:ind w:left="180" w:hanging="180"/>
    </w:pPr>
    <w:rPr>
      <w:rFonts w:ascii="Adobe Jenson Pro Lt" w:eastAsia="Cambria" w:hAnsi="Adobe Jenson Pro Lt" w:cs="Adobe Jenson Pro Lt"/>
      <w:spacing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2</cp:revision>
  <cp:lastPrinted>2021-06-08T19:41:00Z</cp:lastPrinted>
  <dcterms:created xsi:type="dcterms:W3CDTF">2023-11-17T16:04:00Z</dcterms:created>
  <dcterms:modified xsi:type="dcterms:W3CDTF">2023-11-17T16:04:00Z</dcterms:modified>
</cp:coreProperties>
</file>